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C367A" w14:textId="77777777" w:rsidR="00412EB5" w:rsidRDefault="00D222E7">
      <w:pPr>
        <w:pStyle w:val="20"/>
        <w:rPr>
          <w:sz w:val="36"/>
        </w:rPr>
      </w:pPr>
      <w:bookmarkStart w:id="0" w:name="_Toc46216911"/>
      <w:bookmarkStart w:id="1" w:name="_Toc75521262"/>
      <w:bookmarkStart w:id="2" w:name="_Toc139993478"/>
      <w:r>
        <w:rPr>
          <w:rFonts w:hint="eastAsia"/>
          <w:sz w:val="36"/>
        </w:rPr>
        <w:t>北京交通大学本科生修读微专业管理办法</w:t>
      </w:r>
      <w:bookmarkEnd w:id="0"/>
      <w:bookmarkEnd w:id="1"/>
      <w:bookmarkEnd w:id="2"/>
    </w:p>
    <w:p w14:paraId="5B42D73C" w14:textId="77777777" w:rsidR="00412EB5" w:rsidRDefault="00412EB5">
      <w:pPr>
        <w:snapToGrid w:val="0"/>
        <w:ind w:firstLineChars="200" w:firstLine="420"/>
        <w:rPr>
          <w:rFonts w:ascii="仿宋_GB2312" w:hAnsi="宋体"/>
          <w:kern w:val="0"/>
          <w:szCs w:val="18"/>
        </w:rPr>
      </w:pPr>
    </w:p>
    <w:p w14:paraId="2E480ECF" w14:textId="77777777" w:rsidR="00412EB5" w:rsidRDefault="00D222E7">
      <w:pPr>
        <w:snapToGrid w:val="0"/>
        <w:spacing w:line="360" w:lineRule="auto"/>
        <w:ind w:firstLineChars="200" w:firstLine="600"/>
        <w:rPr>
          <w:rFonts w:ascii="仿宋_GB2312" w:hAnsi="宋体"/>
          <w:kern w:val="0"/>
          <w:sz w:val="30"/>
          <w:szCs w:val="30"/>
        </w:rPr>
      </w:pPr>
      <w:r>
        <w:rPr>
          <w:rFonts w:ascii="仿宋_GB2312" w:hAnsi="宋体" w:hint="eastAsia"/>
          <w:kern w:val="0"/>
          <w:sz w:val="30"/>
          <w:szCs w:val="30"/>
        </w:rPr>
        <w:t>为推进跨学科跨专业复合型人才培养，发挥学校多学科的优势，满足学生个性化发展需求，提高就业竞争能力，学校在本科生中开设微专业，本科生可以在修读主修专业的同时选修微专业。为规范管理，特制定本办法。</w:t>
      </w:r>
    </w:p>
    <w:p w14:paraId="1D6CF843" w14:textId="77777777" w:rsidR="00412EB5" w:rsidRDefault="00412EB5">
      <w:pPr>
        <w:snapToGrid w:val="0"/>
        <w:spacing w:line="360" w:lineRule="auto"/>
        <w:ind w:firstLineChars="200" w:firstLine="600"/>
        <w:rPr>
          <w:rFonts w:ascii="仿宋_GB2312" w:hAnsi="宋体"/>
          <w:kern w:val="0"/>
          <w:sz w:val="30"/>
          <w:szCs w:val="30"/>
        </w:rPr>
      </w:pPr>
    </w:p>
    <w:p w14:paraId="787CECBE" w14:textId="77777777" w:rsidR="00412EB5" w:rsidRDefault="00D222E7">
      <w:pPr>
        <w:pStyle w:val="3"/>
        <w:spacing w:line="360" w:lineRule="auto"/>
        <w:rPr>
          <w:rFonts w:ascii="仿宋_GB2312" w:eastAsia="仿宋_GB2312"/>
          <w:sz w:val="30"/>
          <w:szCs w:val="30"/>
        </w:rPr>
      </w:pPr>
      <w:r>
        <w:rPr>
          <w:rFonts w:ascii="仿宋_GB2312" w:eastAsia="仿宋_GB2312" w:hint="eastAsia"/>
          <w:sz w:val="30"/>
          <w:szCs w:val="30"/>
        </w:rPr>
        <w:t>第一章  基本要求</w:t>
      </w:r>
    </w:p>
    <w:p w14:paraId="6B931D06" w14:textId="22A90BF6" w:rsidR="00412EB5" w:rsidRDefault="00D222E7">
      <w:pPr>
        <w:snapToGrid w:val="0"/>
        <w:spacing w:line="360" w:lineRule="auto"/>
        <w:ind w:firstLineChars="200" w:firstLine="602"/>
        <w:rPr>
          <w:rFonts w:ascii="仿宋_GB2312" w:hAnsi="宋体"/>
          <w:kern w:val="0"/>
          <w:sz w:val="30"/>
          <w:szCs w:val="30"/>
        </w:rPr>
      </w:pPr>
      <w:r>
        <w:rPr>
          <w:rFonts w:ascii="仿宋_GB2312" w:hAnsi="宋体" w:hint="eastAsia"/>
          <w:b/>
          <w:kern w:val="0"/>
          <w:sz w:val="30"/>
          <w:szCs w:val="30"/>
        </w:rPr>
        <w:t>第一条</w:t>
      </w:r>
      <w:r>
        <w:rPr>
          <w:rFonts w:ascii="仿宋_GB2312" w:hAnsi="宋体" w:hint="eastAsia"/>
          <w:kern w:val="0"/>
          <w:sz w:val="30"/>
          <w:szCs w:val="30"/>
        </w:rPr>
        <w:t xml:space="preserve"> 微专业是指在</w:t>
      </w:r>
      <w:r w:rsidR="00827532">
        <w:rPr>
          <w:rFonts w:ascii="仿宋_GB2312" w:hAnsi="宋体" w:hint="eastAsia"/>
          <w:kern w:val="0"/>
          <w:sz w:val="30"/>
          <w:szCs w:val="30"/>
        </w:rPr>
        <w:t>学生修读的现有</w:t>
      </w:r>
      <w:r>
        <w:rPr>
          <w:rFonts w:ascii="仿宋_GB2312" w:hAnsi="宋体" w:hint="eastAsia"/>
          <w:kern w:val="0"/>
          <w:sz w:val="30"/>
          <w:szCs w:val="30"/>
        </w:rPr>
        <w:t>本科专业外，以培养跨学科交叉融合的新型人才为目标，主动对接国家战略，围绕某个特定学术前沿研究、产业发展或新兴专业领域，打破学科专业壁垒，开设一组体现交叉融合的核心课程，开展的一种灵活、系统的新型专业组织模式。</w:t>
      </w:r>
    </w:p>
    <w:p w14:paraId="05CD4D85" w14:textId="4466BD05" w:rsidR="00827532" w:rsidRPr="00827532" w:rsidRDefault="00827532">
      <w:pPr>
        <w:snapToGrid w:val="0"/>
        <w:spacing w:line="360" w:lineRule="auto"/>
        <w:ind w:firstLineChars="200" w:firstLine="602"/>
        <w:rPr>
          <w:rFonts w:ascii="仿宋_GB2312" w:hAnsi="宋体"/>
          <w:kern w:val="0"/>
          <w:sz w:val="30"/>
          <w:szCs w:val="30"/>
        </w:rPr>
      </w:pPr>
      <w:r w:rsidRPr="00DE0EE9">
        <w:rPr>
          <w:rFonts w:ascii="仿宋_GB2312" w:hAnsi="宋体" w:hint="eastAsia"/>
          <w:b/>
          <w:kern w:val="0"/>
          <w:sz w:val="30"/>
          <w:szCs w:val="30"/>
        </w:rPr>
        <w:t>第二条</w:t>
      </w:r>
      <w:r>
        <w:rPr>
          <w:rFonts w:ascii="仿宋_GB2312" w:hAnsi="宋体" w:hint="eastAsia"/>
          <w:kern w:val="0"/>
          <w:sz w:val="30"/>
          <w:szCs w:val="30"/>
        </w:rPr>
        <w:t xml:space="preserve"> 微专业由本科专业学院基于本学院本科专业开设，</w:t>
      </w:r>
      <w:r w:rsidR="008B0C46">
        <w:rPr>
          <w:rFonts w:ascii="仿宋_GB2312" w:hAnsi="宋体" w:hint="eastAsia"/>
          <w:kern w:val="0"/>
          <w:sz w:val="30"/>
          <w:szCs w:val="30"/>
        </w:rPr>
        <w:t>本科生院每学期组织申报一次。微专业</w:t>
      </w:r>
      <w:r w:rsidR="008B0C46">
        <w:rPr>
          <w:rFonts w:ascii="仿宋_GB2312" w:hAnsi="宋体"/>
          <w:kern w:val="0"/>
          <w:sz w:val="30"/>
          <w:szCs w:val="30"/>
        </w:rPr>
        <w:t>名称</w:t>
      </w:r>
      <w:r w:rsidR="008B0C46">
        <w:rPr>
          <w:rFonts w:ascii="仿宋_GB2312" w:hAnsi="宋体" w:hint="eastAsia"/>
          <w:kern w:val="0"/>
          <w:sz w:val="30"/>
          <w:szCs w:val="30"/>
        </w:rPr>
        <w:t>可</w:t>
      </w:r>
      <w:r w:rsidR="008B0C46">
        <w:rPr>
          <w:rFonts w:ascii="仿宋_GB2312" w:hAnsi="宋体"/>
          <w:kern w:val="0"/>
          <w:sz w:val="30"/>
          <w:szCs w:val="30"/>
        </w:rPr>
        <w:t>使用</w:t>
      </w:r>
      <w:r w:rsidR="008B0C46">
        <w:rPr>
          <w:rFonts w:ascii="仿宋_GB2312" w:hAnsi="宋体" w:hint="eastAsia"/>
          <w:kern w:val="0"/>
          <w:sz w:val="30"/>
          <w:szCs w:val="30"/>
        </w:rPr>
        <w:t>现有本科</w:t>
      </w:r>
      <w:r w:rsidR="008B0C46">
        <w:rPr>
          <w:rFonts w:ascii="仿宋_GB2312" w:hAnsi="宋体"/>
          <w:kern w:val="0"/>
          <w:sz w:val="30"/>
          <w:szCs w:val="30"/>
        </w:rPr>
        <w:t>专业</w:t>
      </w:r>
      <w:r w:rsidR="008B0C46">
        <w:rPr>
          <w:rFonts w:ascii="仿宋_GB2312" w:hAnsi="宋体" w:hint="eastAsia"/>
          <w:kern w:val="0"/>
          <w:sz w:val="30"/>
          <w:szCs w:val="30"/>
        </w:rPr>
        <w:t>名称</w:t>
      </w:r>
      <w:r w:rsidR="008B0C46">
        <w:rPr>
          <w:rFonts w:ascii="仿宋_GB2312" w:hAnsi="宋体"/>
          <w:kern w:val="0"/>
          <w:sz w:val="30"/>
          <w:szCs w:val="30"/>
        </w:rPr>
        <w:t>或</w:t>
      </w:r>
      <w:r w:rsidR="008B0C46">
        <w:rPr>
          <w:rFonts w:ascii="仿宋_GB2312" w:hAnsi="宋体" w:hint="eastAsia"/>
          <w:kern w:val="0"/>
          <w:sz w:val="30"/>
          <w:szCs w:val="30"/>
        </w:rPr>
        <w:t>新设</w:t>
      </w:r>
      <w:r w:rsidR="008B0C46">
        <w:rPr>
          <w:rFonts w:ascii="仿宋_GB2312" w:hAnsi="宋体"/>
          <w:kern w:val="0"/>
          <w:sz w:val="30"/>
          <w:szCs w:val="30"/>
        </w:rPr>
        <w:t>其它</w:t>
      </w:r>
      <w:r w:rsidR="008B0C46">
        <w:rPr>
          <w:rFonts w:ascii="仿宋_GB2312" w:hAnsi="宋体" w:hint="eastAsia"/>
          <w:kern w:val="0"/>
          <w:sz w:val="30"/>
          <w:szCs w:val="30"/>
        </w:rPr>
        <w:t>名称。</w:t>
      </w:r>
      <w:r w:rsidRPr="00827532">
        <w:rPr>
          <w:rFonts w:ascii="仿宋_GB2312" w:hAnsi="宋体" w:hint="eastAsia"/>
          <w:kern w:val="0"/>
          <w:sz w:val="30"/>
          <w:szCs w:val="30"/>
        </w:rPr>
        <w:t xml:space="preserve"> </w:t>
      </w:r>
    </w:p>
    <w:p w14:paraId="30238ECE" w14:textId="6B60A242" w:rsidR="00412EB5" w:rsidRDefault="00D222E7">
      <w:pPr>
        <w:snapToGrid w:val="0"/>
        <w:spacing w:line="360" w:lineRule="auto"/>
        <w:ind w:firstLineChars="200" w:firstLine="602"/>
        <w:rPr>
          <w:rFonts w:ascii="仿宋_GB2312" w:hAnsi="宋体"/>
          <w:kern w:val="0"/>
          <w:sz w:val="30"/>
          <w:szCs w:val="30"/>
        </w:rPr>
      </w:pPr>
      <w:r>
        <w:rPr>
          <w:rFonts w:ascii="仿宋_GB2312" w:hAnsi="宋体" w:hint="eastAsia"/>
          <w:b/>
          <w:kern w:val="0"/>
          <w:sz w:val="30"/>
          <w:szCs w:val="30"/>
        </w:rPr>
        <w:t>第</w:t>
      </w:r>
      <w:r w:rsidR="00DE0EE9">
        <w:rPr>
          <w:rFonts w:ascii="仿宋_GB2312" w:hAnsi="宋体" w:hint="eastAsia"/>
          <w:b/>
          <w:kern w:val="0"/>
          <w:sz w:val="30"/>
          <w:szCs w:val="30"/>
        </w:rPr>
        <w:t>三</w:t>
      </w:r>
      <w:r>
        <w:rPr>
          <w:rFonts w:ascii="仿宋_GB2312" w:hAnsi="宋体" w:hint="eastAsia"/>
          <w:b/>
          <w:kern w:val="0"/>
          <w:sz w:val="30"/>
          <w:szCs w:val="30"/>
        </w:rPr>
        <w:t xml:space="preserve">条 </w:t>
      </w:r>
      <w:r>
        <w:rPr>
          <w:rFonts w:ascii="仿宋_GB2312" w:hAnsi="宋体" w:hint="eastAsia"/>
          <w:kern w:val="0"/>
          <w:sz w:val="30"/>
          <w:szCs w:val="30"/>
        </w:rPr>
        <w:t>微专业按学分制管理。开设微专业的学院（下称开设学院）根据微专业基本要求和特点，坚持“小学分、高聚焦、精课程、跨学科、灵活性”为原则，制定微专业的培养方案，经学院教学指导委员会审核，报本科生院批准后实施。</w:t>
      </w:r>
    </w:p>
    <w:p w14:paraId="5F2A441C" w14:textId="77777777" w:rsidR="00412EB5" w:rsidRDefault="00412EB5">
      <w:pPr>
        <w:snapToGrid w:val="0"/>
        <w:spacing w:line="360" w:lineRule="auto"/>
        <w:ind w:firstLineChars="200" w:firstLine="600"/>
        <w:rPr>
          <w:rFonts w:ascii="仿宋_GB2312" w:hAnsi="宋体"/>
          <w:kern w:val="0"/>
          <w:sz w:val="30"/>
          <w:szCs w:val="30"/>
        </w:rPr>
      </w:pPr>
    </w:p>
    <w:p w14:paraId="7383C6C0" w14:textId="77777777" w:rsidR="00412EB5" w:rsidRDefault="00D222E7">
      <w:pPr>
        <w:pStyle w:val="3"/>
        <w:spacing w:line="360" w:lineRule="auto"/>
        <w:rPr>
          <w:rFonts w:ascii="仿宋_GB2312" w:eastAsia="仿宋_GB2312"/>
          <w:sz w:val="30"/>
          <w:szCs w:val="30"/>
        </w:rPr>
      </w:pPr>
      <w:r>
        <w:rPr>
          <w:rFonts w:ascii="仿宋_GB2312" w:eastAsia="仿宋_GB2312" w:hint="eastAsia"/>
          <w:sz w:val="30"/>
          <w:szCs w:val="30"/>
        </w:rPr>
        <w:t>第二章  申请方式</w:t>
      </w:r>
    </w:p>
    <w:p w14:paraId="216CB920" w14:textId="598E00DF" w:rsidR="00412EB5" w:rsidRDefault="00D222E7">
      <w:pPr>
        <w:snapToGrid w:val="0"/>
        <w:spacing w:line="360" w:lineRule="auto"/>
        <w:ind w:firstLineChars="200" w:firstLine="602"/>
        <w:rPr>
          <w:rFonts w:ascii="仿宋_GB2312" w:hAnsi="宋体"/>
          <w:kern w:val="0"/>
          <w:sz w:val="30"/>
          <w:szCs w:val="30"/>
        </w:rPr>
      </w:pPr>
      <w:r>
        <w:rPr>
          <w:rFonts w:ascii="仿宋_GB2312" w:hAnsi="宋体" w:hint="eastAsia"/>
          <w:b/>
          <w:kern w:val="0"/>
          <w:sz w:val="30"/>
          <w:szCs w:val="30"/>
        </w:rPr>
        <w:t>第</w:t>
      </w:r>
      <w:r w:rsidR="00DE0EE9">
        <w:rPr>
          <w:rFonts w:ascii="仿宋_GB2312" w:hAnsi="宋体" w:hint="eastAsia"/>
          <w:b/>
          <w:kern w:val="0"/>
          <w:sz w:val="30"/>
          <w:szCs w:val="30"/>
        </w:rPr>
        <w:t>四</w:t>
      </w:r>
      <w:r>
        <w:rPr>
          <w:rFonts w:ascii="仿宋_GB2312" w:hAnsi="宋体" w:hint="eastAsia"/>
          <w:b/>
          <w:kern w:val="0"/>
          <w:sz w:val="30"/>
          <w:szCs w:val="30"/>
        </w:rPr>
        <w:t xml:space="preserve">条 </w:t>
      </w:r>
      <w:r>
        <w:rPr>
          <w:rFonts w:ascii="仿宋_GB2312" w:hAnsi="宋体" w:hint="eastAsia"/>
          <w:kern w:val="0"/>
          <w:sz w:val="30"/>
          <w:szCs w:val="30"/>
        </w:rPr>
        <w:t>微专业</w:t>
      </w:r>
      <w:r>
        <w:rPr>
          <w:rFonts w:ascii="仿宋_GB2312" w:hAnsi="宋体"/>
          <w:kern w:val="0"/>
          <w:sz w:val="30"/>
          <w:szCs w:val="30"/>
        </w:rPr>
        <w:t>面向</w:t>
      </w:r>
      <w:r>
        <w:rPr>
          <w:rFonts w:ascii="仿宋_GB2312" w:hAnsi="宋体" w:hint="eastAsia"/>
          <w:kern w:val="0"/>
          <w:sz w:val="30"/>
          <w:szCs w:val="30"/>
        </w:rPr>
        <w:t>具有我校</w:t>
      </w:r>
      <w:r>
        <w:rPr>
          <w:rFonts w:ascii="仿宋_GB2312" w:hAnsi="宋体"/>
          <w:kern w:val="0"/>
          <w:sz w:val="30"/>
          <w:szCs w:val="30"/>
        </w:rPr>
        <w:t>学籍的本科生开设（</w:t>
      </w:r>
      <w:r>
        <w:rPr>
          <w:rFonts w:ascii="仿宋_GB2312" w:hAnsi="宋体" w:hint="eastAsia"/>
          <w:kern w:val="0"/>
          <w:sz w:val="30"/>
          <w:szCs w:val="30"/>
        </w:rPr>
        <w:t>不含留学生</w:t>
      </w:r>
      <w:r>
        <w:rPr>
          <w:rFonts w:ascii="仿宋_GB2312" w:hAnsi="宋体"/>
          <w:kern w:val="0"/>
          <w:sz w:val="30"/>
          <w:szCs w:val="30"/>
        </w:rPr>
        <w:t>）</w:t>
      </w:r>
      <w:r>
        <w:rPr>
          <w:rFonts w:ascii="仿宋_GB2312" w:hAnsi="宋体" w:hint="eastAsia"/>
          <w:kern w:val="0"/>
          <w:sz w:val="30"/>
          <w:szCs w:val="30"/>
        </w:rPr>
        <w:t>。</w:t>
      </w:r>
    </w:p>
    <w:p w14:paraId="6306C063" w14:textId="0CE07F89" w:rsidR="00412EB5" w:rsidRDefault="00D222E7">
      <w:pPr>
        <w:snapToGrid w:val="0"/>
        <w:spacing w:line="360" w:lineRule="auto"/>
        <w:ind w:firstLineChars="200" w:firstLine="602"/>
        <w:rPr>
          <w:rFonts w:ascii="仿宋_GB2312" w:hAnsi="宋体"/>
          <w:kern w:val="0"/>
          <w:sz w:val="30"/>
          <w:szCs w:val="30"/>
        </w:rPr>
      </w:pPr>
      <w:r w:rsidRPr="00032059">
        <w:rPr>
          <w:rFonts w:ascii="仿宋_GB2312" w:hAnsi="宋体" w:hint="eastAsia"/>
          <w:b/>
          <w:kern w:val="0"/>
          <w:sz w:val="30"/>
          <w:szCs w:val="30"/>
          <w:highlight w:val="yellow"/>
        </w:rPr>
        <w:t>第</w:t>
      </w:r>
      <w:r w:rsidR="00DE0EE9" w:rsidRPr="00032059">
        <w:rPr>
          <w:rFonts w:ascii="仿宋_GB2312" w:hAnsi="宋体" w:hint="eastAsia"/>
          <w:b/>
          <w:kern w:val="0"/>
          <w:sz w:val="30"/>
          <w:szCs w:val="30"/>
          <w:highlight w:val="yellow"/>
        </w:rPr>
        <w:t>五</w:t>
      </w:r>
      <w:r w:rsidRPr="00032059">
        <w:rPr>
          <w:rFonts w:ascii="仿宋_GB2312" w:hAnsi="宋体" w:hint="eastAsia"/>
          <w:b/>
          <w:kern w:val="0"/>
          <w:sz w:val="30"/>
          <w:szCs w:val="30"/>
          <w:highlight w:val="yellow"/>
        </w:rPr>
        <w:t>条</w:t>
      </w:r>
      <w:r w:rsidRPr="00032059">
        <w:rPr>
          <w:rFonts w:ascii="仿宋_GB2312" w:hAnsi="宋体" w:hint="eastAsia"/>
          <w:kern w:val="0"/>
          <w:sz w:val="30"/>
          <w:szCs w:val="30"/>
          <w:highlight w:val="yellow"/>
        </w:rPr>
        <w:t xml:space="preserve"> 学生在校期间修读微专业总数不超过2</w:t>
      </w:r>
      <w:r w:rsidR="007E5626" w:rsidRPr="00032059">
        <w:rPr>
          <w:rFonts w:ascii="仿宋_GB2312" w:hAnsi="宋体" w:hint="eastAsia"/>
          <w:kern w:val="0"/>
          <w:sz w:val="30"/>
          <w:szCs w:val="30"/>
          <w:highlight w:val="yellow"/>
        </w:rPr>
        <w:t>个</w:t>
      </w:r>
      <w:r w:rsidR="00793135" w:rsidRPr="00032059">
        <w:rPr>
          <w:rFonts w:ascii="仿宋_GB2312" w:hAnsi="宋体" w:hint="eastAsia"/>
          <w:kern w:val="0"/>
          <w:sz w:val="30"/>
          <w:szCs w:val="30"/>
          <w:highlight w:val="yellow"/>
        </w:rPr>
        <w:t>，</w:t>
      </w:r>
      <w:r w:rsidRPr="00032059">
        <w:rPr>
          <w:rFonts w:ascii="仿宋_GB2312" w:hAnsi="宋体" w:hint="eastAsia"/>
          <w:kern w:val="0"/>
          <w:sz w:val="30"/>
          <w:szCs w:val="30"/>
          <w:highlight w:val="yellow"/>
        </w:rPr>
        <w:t>不可</w:t>
      </w:r>
      <w:r w:rsidR="00793135" w:rsidRPr="00032059">
        <w:rPr>
          <w:rFonts w:ascii="仿宋_GB2312" w:hAnsi="宋体" w:hint="eastAsia"/>
          <w:kern w:val="0"/>
          <w:sz w:val="30"/>
          <w:szCs w:val="30"/>
          <w:highlight w:val="yellow"/>
        </w:rPr>
        <w:t>同</w:t>
      </w:r>
      <w:r w:rsidR="00793135" w:rsidRPr="00032059">
        <w:rPr>
          <w:rFonts w:ascii="仿宋_GB2312" w:hAnsi="宋体" w:hint="eastAsia"/>
          <w:kern w:val="0"/>
          <w:sz w:val="30"/>
          <w:szCs w:val="30"/>
          <w:highlight w:val="yellow"/>
        </w:rPr>
        <w:lastRenderedPageBreak/>
        <w:t>时申请修读且</w:t>
      </w:r>
      <w:r w:rsidR="00793135" w:rsidRPr="00032059">
        <w:rPr>
          <w:rFonts w:ascii="仿宋_GB2312" w:hAnsi="宋体"/>
          <w:kern w:val="0"/>
          <w:sz w:val="30"/>
          <w:szCs w:val="30"/>
          <w:highlight w:val="yellow"/>
        </w:rPr>
        <w:t>不可为相近专业</w:t>
      </w:r>
      <w:r w:rsidRPr="00032059">
        <w:rPr>
          <w:rFonts w:ascii="仿宋_GB2312" w:hAnsi="宋体" w:hint="eastAsia"/>
          <w:kern w:val="0"/>
          <w:sz w:val="30"/>
          <w:szCs w:val="30"/>
          <w:highlight w:val="yellow"/>
        </w:rPr>
        <w:t>。</w:t>
      </w:r>
      <w:r w:rsidR="00793135" w:rsidRPr="00032059">
        <w:rPr>
          <w:rFonts w:ascii="仿宋_GB2312" w:hAnsi="宋体" w:hint="eastAsia"/>
          <w:kern w:val="0"/>
          <w:sz w:val="30"/>
          <w:szCs w:val="30"/>
          <w:highlight w:val="yellow"/>
        </w:rPr>
        <w:t>已</w:t>
      </w:r>
      <w:r w:rsidR="00793135" w:rsidRPr="00032059">
        <w:rPr>
          <w:rFonts w:ascii="仿宋_GB2312" w:hAnsi="宋体"/>
          <w:kern w:val="0"/>
          <w:sz w:val="30"/>
          <w:szCs w:val="30"/>
          <w:highlight w:val="yellow"/>
        </w:rPr>
        <w:t>申请</w:t>
      </w:r>
      <w:r w:rsidR="00661578" w:rsidRPr="00032059">
        <w:rPr>
          <w:rFonts w:ascii="仿宋_GB2312" w:hAnsi="宋体"/>
          <w:kern w:val="0"/>
          <w:sz w:val="30"/>
          <w:szCs w:val="30"/>
          <w:highlight w:val="yellow"/>
        </w:rPr>
        <w:t>修读</w:t>
      </w:r>
      <w:r w:rsidR="00661578" w:rsidRPr="00032059">
        <w:rPr>
          <w:rFonts w:ascii="仿宋_GB2312" w:hAnsi="宋体" w:hint="eastAsia"/>
          <w:kern w:val="0"/>
          <w:sz w:val="30"/>
          <w:szCs w:val="30"/>
          <w:highlight w:val="yellow"/>
        </w:rPr>
        <w:t>辅修</w:t>
      </w:r>
      <w:r w:rsidR="00661578" w:rsidRPr="00032059">
        <w:rPr>
          <w:rFonts w:ascii="仿宋_GB2312" w:hAnsi="宋体"/>
          <w:kern w:val="0"/>
          <w:sz w:val="30"/>
          <w:szCs w:val="30"/>
          <w:highlight w:val="yellow"/>
        </w:rPr>
        <w:t>学士</w:t>
      </w:r>
      <w:r w:rsidR="00661578" w:rsidRPr="00032059">
        <w:rPr>
          <w:rFonts w:ascii="仿宋_GB2312" w:hAnsi="宋体" w:hint="eastAsia"/>
          <w:kern w:val="0"/>
          <w:sz w:val="30"/>
          <w:szCs w:val="30"/>
          <w:highlight w:val="yellow"/>
        </w:rPr>
        <w:t>学位的，</w:t>
      </w:r>
      <w:r w:rsidR="00661578" w:rsidRPr="00032059">
        <w:rPr>
          <w:rFonts w:ascii="仿宋_GB2312" w:hAnsi="宋体"/>
          <w:kern w:val="0"/>
          <w:sz w:val="30"/>
          <w:szCs w:val="30"/>
          <w:highlight w:val="yellow"/>
        </w:rPr>
        <w:t>不</w:t>
      </w:r>
      <w:r w:rsidR="00661578" w:rsidRPr="00032059">
        <w:rPr>
          <w:rFonts w:ascii="仿宋_GB2312" w:hAnsi="宋体" w:hint="eastAsia"/>
          <w:kern w:val="0"/>
          <w:sz w:val="30"/>
          <w:szCs w:val="30"/>
          <w:highlight w:val="yellow"/>
        </w:rPr>
        <w:t>可</w:t>
      </w:r>
      <w:r w:rsidR="00661578" w:rsidRPr="00032059">
        <w:rPr>
          <w:rFonts w:ascii="仿宋_GB2312" w:hAnsi="宋体"/>
          <w:kern w:val="0"/>
          <w:sz w:val="30"/>
          <w:szCs w:val="30"/>
          <w:highlight w:val="yellow"/>
        </w:rPr>
        <w:t>同时</w:t>
      </w:r>
      <w:r w:rsidR="00661578" w:rsidRPr="00032059">
        <w:rPr>
          <w:rFonts w:ascii="仿宋_GB2312" w:hAnsi="宋体" w:hint="eastAsia"/>
          <w:kern w:val="0"/>
          <w:sz w:val="30"/>
          <w:szCs w:val="30"/>
          <w:highlight w:val="yellow"/>
        </w:rPr>
        <w:t>申请</w:t>
      </w:r>
      <w:r w:rsidR="00661578" w:rsidRPr="00032059">
        <w:rPr>
          <w:rFonts w:ascii="仿宋_GB2312" w:hAnsi="宋体"/>
          <w:kern w:val="0"/>
          <w:sz w:val="30"/>
          <w:szCs w:val="30"/>
          <w:highlight w:val="yellow"/>
        </w:rPr>
        <w:t>修读</w:t>
      </w:r>
      <w:r w:rsidR="00793135" w:rsidRPr="00032059">
        <w:rPr>
          <w:rFonts w:ascii="仿宋_GB2312" w:hAnsi="宋体" w:hint="eastAsia"/>
          <w:kern w:val="0"/>
          <w:sz w:val="30"/>
          <w:szCs w:val="30"/>
          <w:highlight w:val="yellow"/>
        </w:rPr>
        <w:t>同一</w:t>
      </w:r>
      <w:r w:rsidR="00793135" w:rsidRPr="00032059">
        <w:rPr>
          <w:rFonts w:ascii="仿宋_GB2312" w:hAnsi="宋体"/>
          <w:kern w:val="0"/>
          <w:sz w:val="30"/>
          <w:szCs w:val="30"/>
          <w:highlight w:val="yellow"/>
        </w:rPr>
        <w:t>或</w:t>
      </w:r>
      <w:r w:rsidR="00793135" w:rsidRPr="00032059">
        <w:rPr>
          <w:rFonts w:ascii="仿宋_GB2312" w:hAnsi="宋体" w:hint="eastAsia"/>
          <w:kern w:val="0"/>
          <w:sz w:val="30"/>
          <w:szCs w:val="30"/>
          <w:highlight w:val="yellow"/>
        </w:rPr>
        <w:t>相近</w:t>
      </w:r>
      <w:r w:rsidR="00661578" w:rsidRPr="00032059">
        <w:rPr>
          <w:rFonts w:ascii="仿宋_GB2312" w:hAnsi="宋体"/>
          <w:kern w:val="0"/>
          <w:sz w:val="30"/>
          <w:szCs w:val="30"/>
          <w:highlight w:val="yellow"/>
        </w:rPr>
        <w:t>专业的</w:t>
      </w:r>
      <w:r w:rsidR="00661578" w:rsidRPr="00032059">
        <w:rPr>
          <w:rFonts w:ascii="仿宋_GB2312" w:hAnsi="宋体" w:hint="eastAsia"/>
          <w:kern w:val="0"/>
          <w:sz w:val="30"/>
          <w:szCs w:val="30"/>
          <w:highlight w:val="yellow"/>
        </w:rPr>
        <w:t>微专业</w:t>
      </w:r>
      <w:r w:rsidR="000C7A17" w:rsidRPr="00032059">
        <w:rPr>
          <w:rFonts w:ascii="仿宋_GB2312" w:hAnsi="宋体" w:hint="eastAsia"/>
          <w:kern w:val="0"/>
          <w:sz w:val="30"/>
          <w:szCs w:val="30"/>
          <w:highlight w:val="yellow"/>
        </w:rPr>
        <w:t>，</w:t>
      </w:r>
      <w:r w:rsidR="000C7A17" w:rsidRPr="00032059">
        <w:rPr>
          <w:rFonts w:ascii="仿宋_GB2312" w:hAnsi="宋体"/>
          <w:kern w:val="0"/>
          <w:sz w:val="30"/>
          <w:szCs w:val="30"/>
          <w:highlight w:val="yellow"/>
        </w:rPr>
        <w:t>需</w:t>
      </w:r>
      <w:r w:rsidR="000C7A17" w:rsidRPr="00032059">
        <w:rPr>
          <w:rFonts w:ascii="仿宋_GB2312" w:hAnsi="宋体" w:hint="eastAsia"/>
          <w:kern w:val="0"/>
          <w:sz w:val="30"/>
          <w:szCs w:val="30"/>
          <w:highlight w:val="yellow"/>
        </w:rPr>
        <w:t>经</w:t>
      </w:r>
      <w:r w:rsidR="000C7A17" w:rsidRPr="00032059">
        <w:rPr>
          <w:rFonts w:ascii="仿宋_GB2312" w:hAnsi="宋体"/>
          <w:kern w:val="0"/>
          <w:sz w:val="30"/>
          <w:szCs w:val="30"/>
          <w:highlight w:val="yellow"/>
        </w:rPr>
        <w:t>开设学院审核同意</w:t>
      </w:r>
      <w:r w:rsidR="000C7A17" w:rsidRPr="00032059">
        <w:rPr>
          <w:rFonts w:ascii="仿宋_GB2312" w:hAnsi="宋体" w:hint="eastAsia"/>
          <w:kern w:val="0"/>
          <w:sz w:val="30"/>
          <w:szCs w:val="30"/>
          <w:highlight w:val="yellow"/>
        </w:rPr>
        <w:t>后申请</w:t>
      </w:r>
      <w:r w:rsidR="000C7A17" w:rsidRPr="00032059">
        <w:rPr>
          <w:rFonts w:ascii="仿宋_GB2312" w:hAnsi="宋体"/>
          <w:kern w:val="0"/>
          <w:sz w:val="30"/>
          <w:szCs w:val="30"/>
          <w:highlight w:val="yellow"/>
        </w:rPr>
        <w:t>。</w:t>
      </w:r>
    </w:p>
    <w:p w14:paraId="150F85E9" w14:textId="48C15BD3" w:rsidR="00412EB5" w:rsidRDefault="00D222E7">
      <w:pPr>
        <w:snapToGrid w:val="0"/>
        <w:spacing w:line="360" w:lineRule="auto"/>
        <w:ind w:firstLineChars="200" w:firstLine="602"/>
        <w:rPr>
          <w:rFonts w:ascii="仿宋_GB2312" w:hAnsi="宋体"/>
          <w:kern w:val="0"/>
          <w:sz w:val="30"/>
          <w:szCs w:val="30"/>
        </w:rPr>
      </w:pPr>
      <w:r>
        <w:rPr>
          <w:rFonts w:ascii="仿宋_GB2312" w:hAnsi="宋体" w:hint="eastAsia"/>
          <w:b/>
          <w:kern w:val="0"/>
          <w:sz w:val="30"/>
          <w:szCs w:val="30"/>
        </w:rPr>
        <w:t>第</w:t>
      </w:r>
      <w:r w:rsidR="00DE0EE9">
        <w:rPr>
          <w:rFonts w:ascii="仿宋_GB2312" w:hAnsi="宋体" w:hint="eastAsia"/>
          <w:b/>
          <w:kern w:val="0"/>
          <w:sz w:val="30"/>
          <w:szCs w:val="30"/>
        </w:rPr>
        <w:t>六</w:t>
      </w:r>
      <w:r>
        <w:rPr>
          <w:rFonts w:ascii="仿宋_GB2312" w:hAnsi="宋体" w:hint="eastAsia"/>
          <w:b/>
          <w:kern w:val="0"/>
          <w:sz w:val="30"/>
          <w:szCs w:val="30"/>
        </w:rPr>
        <w:t>条</w:t>
      </w:r>
      <w:r>
        <w:rPr>
          <w:rFonts w:ascii="仿宋_GB2312" w:hAnsi="宋体" w:hint="eastAsia"/>
          <w:kern w:val="0"/>
          <w:sz w:val="30"/>
          <w:szCs w:val="30"/>
        </w:rPr>
        <w:t xml:space="preserve"> 开设学院于每学期公布所开设微专业的接收名额和报名条件，本科生院汇总公布后，由开设学院进行选拔。</w:t>
      </w:r>
    </w:p>
    <w:p w14:paraId="0F90FD5C" w14:textId="587E0949" w:rsidR="00412EB5" w:rsidRDefault="00D222E7">
      <w:pPr>
        <w:snapToGrid w:val="0"/>
        <w:spacing w:line="360" w:lineRule="auto"/>
        <w:ind w:firstLineChars="200" w:firstLine="602"/>
        <w:rPr>
          <w:rFonts w:ascii="仿宋_GB2312" w:hAnsi="宋体"/>
          <w:kern w:val="0"/>
          <w:sz w:val="30"/>
          <w:szCs w:val="30"/>
        </w:rPr>
      </w:pPr>
      <w:r>
        <w:rPr>
          <w:rFonts w:ascii="仿宋_GB2312" w:hAnsi="宋体" w:hint="eastAsia"/>
          <w:b/>
          <w:kern w:val="0"/>
          <w:sz w:val="30"/>
          <w:szCs w:val="30"/>
        </w:rPr>
        <w:t>第</w:t>
      </w:r>
      <w:r w:rsidR="00DE0EE9">
        <w:rPr>
          <w:rFonts w:ascii="仿宋_GB2312" w:hAnsi="宋体" w:hint="eastAsia"/>
          <w:b/>
          <w:kern w:val="0"/>
          <w:sz w:val="30"/>
          <w:szCs w:val="30"/>
        </w:rPr>
        <w:t>七</w:t>
      </w:r>
      <w:r>
        <w:rPr>
          <w:rFonts w:ascii="仿宋_GB2312" w:hAnsi="宋体" w:hint="eastAsia"/>
          <w:b/>
          <w:kern w:val="0"/>
          <w:sz w:val="30"/>
          <w:szCs w:val="30"/>
        </w:rPr>
        <w:t>条</w:t>
      </w:r>
      <w:r>
        <w:rPr>
          <w:rFonts w:ascii="仿宋_GB2312" w:hAnsi="宋体" w:hint="eastAsia"/>
          <w:kern w:val="0"/>
          <w:sz w:val="30"/>
          <w:szCs w:val="30"/>
        </w:rPr>
        <w:t xml:space="preserve"> 申请修读微专业的学生，在教务系统内提交报名申请，经所在学院审核通过后提交开设学院进</w:t>
      </w:r>
      <w:bookmarkStart w:id="3" w:name="_GoBack"/>
      <w:bookmarkEnd w:id="3"/>
      <w:r>
        <w:rPr>
          <w:rFonts w:ascii="仿宋_GB2312" w:hAnsi="宋体" w:hint="eastAsia"/>
          <w:kern w:val="0"/>
          <w:sz w:val="30"/>
          <w:szCs w:val="30"/>
        </w:rPr>
        <w:t>行综合审查。开设学院审核通过后，将录取名单报本科生院统一公布。</w:t>
      </w:r>
    </w:p>
    <w:p w14:paraId="4854715D" w14:textId="77777777" w:rsidR="00412EB5" w:rsidRDefault="00412EB5">
      <w:pPr>
        <w:snapToGrid w:val="0"/>
        <w:spacing w:line="360" w:lineRule="auto"/>
        <w:ind w:firstLineChars="200" w:firstLine="600"/>
        <w:rPr>
          <w:rFonts w:ascii="仿宋_GB2312" w:hAnsi="宋体"/>
          <w:kern w:val="0"/>
          <w:sz w:val="30"/>
          <w:szCs w:val="30"/>
        </w:rPr>
      </w:pPr>
    </w:p>
    <w:p w14:paraId="6A8DC670" w14:textId="77777777" w:rsidR="00412EB5" w:rsidRDefault="00D222E7">
      <w:pPr>
        <w:pStyle w:val="3"/>
        <w:spacing w:line="360" w:lineRule="auto"/>
        <w:rPr>
          <w:rFonts w:ascii="仿宋_GB2312" w:eastAsia="仿宋_GB2312"/>
          <w:sz w:val="30"/>
          <w:szCs w:val="30"/>
        </w:rPr>
      </w:pPr>
      <w:r>
        <w:rPr>
          <w:rFonts w:ascii="仿宋_GB2312" w:eastAsia="仿宋_GB2312" w:hint="eastAsia"/>
          <w:sz w:val="30"/>
          <w:szCs w:val="30"/>
        </w:rPr>
        <w:t>第三章  教学安排与学籍管理</w:t>
      </w:r>
    </w:p>
    <w:p w14:paraId="5C02A5BB" w14:textId="3CEFC495" w:rsidR="00412EB5" w:rsidRDefault="00D222E7">
      <w:pPr>
        <w:snapToGrid w:val="0"/>
        <w:spacing w:line="360" w:lineRule="auto"/>
        <w:ind w:firstLineChars="200" w:firstLine="602"/>
        <w:rPr>
          <w:rFonts w:ascii="仿宋_GB2312" w:hAnsi="宋体"/>
          <w:kern w:val="0"/>
          <w:sz w:val="30"/>
          <w:szCs w:val="30"/>
        </w:rPr>
      </w:pPr>
      <w:r>
        <w:rPr>
          <w:rFonts w:ascii="仿宋_GB2312" w:hAnsi="宋体" w:hint="eastAsia"/>
          <w:b/>
          <w:kern w:val="0"/>
          <w:sz w:val="30"/>
          <w:szCs w:val="30"/>
        </w:rPr>
        <w:t>第</w:t>
      </w:r>
      <w:r w:rsidR="00DE0EE9">
        <w:rPr>
          <w:rFonts w:ascii="仿宋_GB2312" w:hAnsi="宋体" w:hint="eastAsia"/>
          <w:b/>
          <w:kern w:val="0"/>
          <w:sz w:val="30"/>
          <w:szCs w:val="30"/>
        </w:rPr>
        <w:t>八</w:t>
      </w:r>
      <w:r>
        <w:rPr>
          <w:rFonts w:ascii="仿宋_GB2312" w:hAnsi="宋体" w:hint="eastAsia"/>
          <w:b/>
          <w:kern w:val="0"/>
          <w:sz w:val="30"/>
          <w:szCs w:val="30"/>
        </w:rPr>
        <w:t>条</w:t>
      </w:r>
      <w:r>
        <w:rPr>
          <w:rFonts w:ascii="仿宋_GB2312" w:hAnsi="宋体" w:hint="eastAsia"/>
          <w:kern w:val="0"/>
          <w:sz w:val="30"/>
          <w:szCs w:val="30"/>
        </w:rPr>
        <w:t xml:space="preserve"> 微专业的日常教学管理由开设学院负责。微专业原则上15人以上方可开班。课程原则上应单独授课，一般安排在周末或夏季学期进行。微专业可采用线上、线下、线上线下混合等多种形式开展教学。</w:t>
      </w:r>
    </w:p>
    <w:p w14:paraId="6C9CD81D" w14:textId="44C7D95B" w:rsidR="00412EB5" w:rsidRDefault="00D222E7">
      <w:pPr>
        <w:snapToGrid w:val="0"/>
        <w:spacing w:line="360" w:lineRule="auto"/>
        <w:ind w:firstLineChars="200" w:firstLine="602"/>
        <w:rPr>
          <w:rFonts w:ascii="仿宋_GB2312" w:hAnsi="宋体"/>
          <w:kern w:val="0"/>
          <w:sz w:val="30"/>
          <w:szCs w:val="30"/>
        </w:rPr>
      </w:pPr>
      <w:r>
        <w:rPr>
          <w:rFonts w:ascii="仿宋_GB2312" w:hAnsi="宋体" w:hint="eastAsia"/>
          <w:b/>
          <w:kern w:val="0"/>
          <w:sz w:val="30"/>
          <w:szCs w:val="30"/>
        </w:rPr>
        <w:t>第</w:t>
      </w:r>
      <w:r w:rsidR="00DE0EE9">
        <w:rPr>
          <w:rFonts w:ascii="仿宋_GB2312" w:hAnsi="宋体" w:hint="eastAsia"/>
          <w:b/>
          <w:kern w:val="0"/>
          <w:sz w:val="30"/>
          <w:szCs w:val="30"/>
        </w:rPr>
        <w:t>九</w:t>
      </w:r>
      <w:r>
        <w:rPr>
          <w:rFonts w:ascii="仿宋_GB2312" w:hAnsi="宋体" w:hint="eastAsia"/>
          <w:b/>
          <w:kern w:val="0"/>
          <w:sz w:val="30"/>
          <w:szCs w:val="30"/>
        </w:rPr>
        <w:t>条</w:t>
      </w:r>
      <w:r>
        <w:rPr>
          <w:rFonts w:ascii="仿宋_GB2312" w:hAnsi="宋体" w:hint="eastAsia"/>
          <w:kern w:val="0"/>
          <w:sz w:val="30"/>
          <w:szCs w:val="30"/>
        </w:rPr>
        <w:t xml:space="preserve"> 开设学院应当建立微专业学生学习档案，依据学校相关规定和本办法规范学习过程与成绩管理，并将学生学习情况及时反馈学生所在学院。</w:t>
      </w:r>
    </w:p>
    <w:p w14:paraId="581BC0ED" w14:textId="55AAF259" w:rsidR="00412EB5" w:rsidRDefault="00D222E7">
      <w:pPr>
        <w:snapToGrid w:val="0"/>
        <w:spacing w:line="360" w:lineRule="auto"/>
        <w:ind w:firstLineChars="200" w:firstLine="602"/>
        <w:rPr>
          <w:rFonts w:ascii="仿宋_GB2312" w:hAnsi="宋体"/>
          <w:kern w:val="0"/>
          <w:sz w:val="30"/>
          <w:szCs w:val="30"/>
        </w:rPr>
      </w:pPr>
      <w:r>
        <w:rPr>
          <w:rFonts w:ascii="仿宋_GB2312" w:hAnsi="宋体" w:hint="eastAsia"/>
          <w:b/>
          <w:kern w:val="0"/>
          <w:sz w:val="30"/>
          <w:szCs w:val="30"/>
        </w:rPr>
        <w:t>第</w:t>
      </w:r>
      <w:r w:rsidR="00DE0EE9">
        <w:rPr>
          <w:rFonts w:ascii="仿宋_GB2312" w:hAnsi="宋体" w:hint="eastAsia"/>
          <w:b/>
          <w:kern w:val="0"/>
          <w:sz w:val="30"/>
          <w:szCs w:val="30"/>
        </w:rPr>
        <w:t>十</w:t>
      </w:r>
      <w:r>
        <w:rPr>
          <w:rFonts w:ascii="仿宋_GB2312" w:hAnsi="宋体" w:hint="eastAsia"/>
          <w:b/>
          <w:kern w:val="0"/>
          <w:sz w:val="30"/>
          <w:szCs w:val="30"/>
        </w:rPr>
        <w:t xml:space="preserve">条 </w:t>
      </w:r>
      <w:r>
        <w:rPr>
          <w:rFonts w:ascii="仿宋_GB2312" w:hAnsi="宋体" w:hint="eastAsia"/>
          <w:kern w:val="0"/>
          <w:sz w:val="30"/>
          <w:szCs w:val="30"/>
        </w:rPr>
        <w:t>微专业课程与主修专业课程同质要求，同质管理。学生选定微专业后，应按时上课，完成教师布置的作业及其他学习任务，并参加考核，成绩合格者可获得该课程的学分。学生修读微专业课程考核成绩单独记载，由开设学院负责管理，待学生修读完毕，将成绩单制作一式三份，分别存入学生个人学籍档案和学校档案馆，并交学生本人一份。微专业关于课程考核、补考、缓考、成绩记载的规定与主修专业相同。</w:t>
      </w:r>
    </w:p>
    <w:p w14:paraId="16C0B357" w14:textId="77777777" w:rsidR="00412EB5" w:rsidRDefault="00D222E7">
      <w:pPr>
        <w:pStyle w:val="3"/>
        <w:spacing w:line="360" w:lineRule="auto"/>
        <w:rPr>
          <w:rFonts w:ascii="仿宋_GB2312" w:eastAsia="仿宋_GB2312"/>
          <w:sz w:val="30"/>
          <w:szCs w:val="30"/>
        </w:rPr>
      </w:pPr>
      <w:r>
        <w:rPr>
          <w:rFonts w:ascii="仿宋_GB2312" w:eastAsia="仿宋_GB2312" w:hint="eastAsia"/>
          <w:sz w:val="30"/>
          <w:szCs w:val="30"/>
        </w:rPr>
        <w:lastRenderedPageBreak/>
        <w:t>第四章  退出</w:t>
      </w:r>
      <w:r>
        <w:rPr>
          <w:rFonts w:ascii="仿宋_GB2312" w:eastAsia="仿宋_GB2312"/>
          <w:sz w:val="30"/>
          <w:szCs w:val="30"/>
        </w:rPr>
        <w:t>及</w:t>
      </w:r>
      <w:r>
        <w:rPr>
          <w:rFonts w:ascii="仿宋_GB2312" w:eastAsia="仿宋_GB2312" w:hint="eastAsia"/>
          <w:sz w:val="30"/>
          <w:szCs w:val="30"/>
        </w:rPr>
        <w:t>证书颁发</w:t>
      </w:r>
    </w:p>
    <w:p w14:paraId="79ACDC81" w14:textId="1A20112F" w:rsidR="00412EB5" w:rsidRDefault="00D222E7">
      <w:pPr>
        <w:snapToGrid w:val="0"/>
        <w:spacing w:line="360" w:lineRule="auto"/>
        <w:ind w:firstLineChars="200" w:firstLine="602"/>
        <w:rPr>
          <w:rFonts w:ascii="仿宋_GB2312" w:hAnsi="宋体"/>
          <w:kern w:val="0"/>
          <w:sz w:val="30"/>
          <w:szCs w:val="30"/>
        </w:rPr>
      </w:pPr>
      <w:r>
        <w:rPr>
          <w:rFonts w:ascii="仿宋_GB2312" w:hAnsi="宋体" w:hint="eastAsia"/>
          <w:b/>
          <w:kern w:val="0"/>
          <w:sz w:val="30"/>
          <w:szCs w:val="30"/>
        </w:rPr>
        <w:t>第十</w:t>
      </w:r>
      <w:r w:rsidR="00DE0EE9">
        <w:rPr>
          <w:rFonts w:ascii="仿宋_GB2312" w:hAnsi="宋体" w:hint="eastAsia"/>
          <w:b/>
          <w:kern w:val="0"/>
          <w:sz w:val="30"/>
          <w:szCs w:val="30"/>
        </w:rPr>
        <w:t>一</w:t>
      </w:r>
      <w:r>
        <w:rPr>
          <w:rFonts w:ascii="仿宋_GB2312" w:hAnsi="宋体" w:hint="eastAsia"/>
          <w:b/>
          <w:kern w:val="0"/>
          <w:sz w:val="30"/>
          <w:szCs w:val="30"/>
        </w:rPr>
        <w:t xml:space="preserve">条 </w:t>
      </w:r>
      <w:r>
        <w:rPr>
          <w:rFonts w:ascii="仿宋_GB2312" w:hAnsi="宋体" w:hint="eastAsia"/>
          <w:bCs/>
          <w:kern w:val="0"/>
          <w:sz w:val="30"/>
          <w:szCs w:val="30"/>
        </w:rPr>
        <w:t>拟</w:t>
      </w:r>
      <w:r>
        <w:rPr>
          <w:rFonts w:ascii="仿宋_GB2312" w:hAnsi="宋体" w:hint="eastAsia"/>
          <w:kern w:val="0"/>
          <w:sz w:val="30"/>
          <w:szCs w:val="30"/>
        </w:rPr>
        <w:t>终止微专业修读的学生需于每学期开课第一周提交退出申请，并报开设学院、本科生院审批。</w:t>
      </w:r>
    </w:p>
    <w:p w14:paraId="3471A32C" w14:textId="43664DCD" w:rsidR="004A6933" w:rsidRDefault="00D222E7">
      <w:pPr>
        <w:snapToGrid w:val="0"/>
        <w:spacing w:line="360" w:lineRule="auto"/>
        <w:ind w:firstLineChars="200" w:firstLine="602"/>
        <w:rPr>
          <w:rFonts w:ascii="仿宋_GB2312" w:hAnsi="宋体"/>
          <w:kern w:val="0"/>
          <w:sz w:val="30"/>
          <w:szCs w:val="30"/>
        </w:rPr>
      </w:pPr>
      <w:r w:rsidRPr="005D5547">
        <w:rPr>
          <w:rFonts w:ascii="仿宋_GB2312" w:hAnsi="宋体" w:hint="eastAsia"/>
          <w:b/>
          <w:kern w:val="0"/>
          <w:sz w:val="30"/>
          <w:szCs w:val="30"/>
        </w:rPr>
        <w:t>第十</w:t>
      </w:r>
      <w:r w:rsidR="00DE0EE9" w:rsidRPr="005D5547">
        <w:rPr>
          <w:rFonts w:ascii="仿宋_GB2312" w:hAnsi="宋体" w:hint="eastAsia"/>
          <w:b/>
          <w:kern w:val="0"/>
          <w:sz w:val="30"/>
          <w:szCs w:val="30"/>
        </w:rPr>
        <w:t>二</w:t>
      </w:r>
      <w:r w:rsidRPr="005D5547">
        <w:rPr>
          <w:rFonts w:ascii="仿宋_GB2312" w:hAnsi="宋体" w:hint="eastAsia"/>
          <w:b/>
          <w:kern w:val="0"/>
          <w:sz w:val="30"/>
          <w:szCs w:val="30"/>
        </w:rPr>
        <w:t xml:space="preserve">条 </w:t>
      </w:r>
      <w:r w:rsidRPr="005D5547">
        <w:rPr>
          <w:rFonts w:ascii="仿宋_GB2312" w:hAnsi="宋体" w:hint="eastAsia"/>
          <w:kern w:val="0"/>
          <w:sz w:val="30"/>
          <w:szCs w:val="30"/>
        </w:rPr>
        <w:t>学生须于主修专业毕业或结业离校前，修完微专业培养方案规定的课程，完成课程的考核。成绩全部合格者，颁发“北京交通大学微专业证书”。主修专业毕业或结业离校前未</w:t>
      </w:r>
      <w:r w:rsidRPr="005D5547">
        <w:rPr>
          <w:rFonts w:ascii="仿宋_GB2312" w:hAnsi="宋体"/>
          <w:kern w:val="0"/>
          <w:sz w:val="30"/>
          <w:szCs w:val="30"/>
        </w:rPr>
        <w:t>修完</w:t>
      </w:r>
      <w:r w:rsidR="00FC5007" w:rsidRPr="005D5547">
        <w:rPr>
          <w:rFonts w:ascii="仿宋_GB2312" w:hAnsi="宋体" w:hint="eastAsia"/>
          <w:kern w:val="0"/>
          <w:sz w:val="30"/>
          <w:szCs w:val="30"/>
        </w:rPr>
        <w:t>微专业</w:t>
      </w:r>
      <w:r w:rsidRPr="005D5547">
        <w:rPr>
          <w:rFonts w:ascii="仿宋_GB2312" w:hAnsi="宋体" w:hint="eastAsia"/>
          <w:kern w:val="0"/>
          <w:sz w:val="30"/>
          <w:szCs w:val="30"/>
        </w:rPr>
        <w:t>培养方案规定的课程</w:t>
      </w:r>
      <w:r w:rsidRPr="005D5547">
        <w:rPr>
          <w:rFonts w:ascii="仿宋_GB2312" w:hAnsi="宋体"/>
          <w:kern w:val="0"/>
          <w:sz w:val="30"/>
          <w:szCs w:val="30"/>
        </w:rPr>
        <w:t>，后续不</w:t>
      </w:r>
      <w:r w:rsidRPr="005D5547">
        <w:rPr>
          <w:rFonts w:ascii="仿宋_GB2312" w:hAnsi="宋体" w:hint="eastAsia"/>
          <w:kern w:val="0"/>
          <w:sz w:val="30"/>
          <w:szCs w:val="30"/>
        </w:rPr>
        <w:t>可</w:t>
      </w:r>
      <w:r w:rsidRPr="005D5547">
        <w:rPr>
          <w:rFonts w:ascii="仿宋_GB2312" w:hAnsi="宋体"/>
          <w:kern w:val="0"/>
          <w:sz w:val="30"/>
          <w:szCs w:val="30"/>
        </w:rPr>
        <w:t>再继续修读。</w:t>
      </w:r>
    </w:p>
    <w:p w14:paraId="0D93DAB9" w14:textId="264522F8" w:rsidR="00412EB5" w:rsidRDefault="00DE0EE9">
      <w:pPr>
        <w:snapToGrid w:val="0"/>
        <w:spacing w:line="360" w:lineRule="auto"/>
        <w:ind w:firstLineChars="200" w:firstLine="602"/>
        <w:rPr>
          <w:rFonts w:ascii="仿宋_GB2312" w:hAnsi="宋体"/>
          <w:kern w:val="0"/>
          <w:sz w:val="30"/>
          <w:szCs w:val="30"/>
        </w:rPr>
      </w:pPr>
      <w:r>
        <w:rPr>
          <w:rFonts w:ascii="仿宋_GB2312" w:hAnsi="宋体" w:hint="eastAsia"/>
          <w:b/>
          <w:kern w:val="0"/>
          <w:sz w:val="30"/>
          <w:szCs w:val="30"/>
        </w:rPr>
        <w:t>第十三</w:t>
      </w:r>
      <w:r w:rsidR="00D222E7">
        <w:rPr>
          <w:rFonts w:ascii="仿宋_GB2312" w:hAnsi="宋体" w:hint="eastAsia"/>
          <w:b/>
          <w:kern w:val="0"/>
          <w:sz w:val="30"/>
          <w:szCs w:val="30"/>
        </w:rPr>
        <w:t xml:space="preserve">条 </w:t>
      </w:r>
      <w:r w:rsidR="00D222E7">
        <w:rPr>
          <w:rFonts w:ascii="仿宋_GB2312" w:hAnsi="宋体" w:hint="eastAsia"/>
          <w:kern w:val="0"/>
          <w:sz w:val="30"/>
          <w:szCs w:val="30"/>
        </w:rPr>
        <w:t>微专业是非学历教育，不在中国高等教育学生信息网（学信网）备注信息，不进行国家统一的学历电子注册，不授予学位。</w:t>
      </w:r>
    </w:p>
    <w:p w14:paraId="7C3A9A2F" w14:textId="77777777" w:rsidR="00412EB5" w:rsidRDefault="00412EB5">
      <w:pPr>
        <w:snapToGrid w:val="0"/>
        <w:spacing w:line="360" w:lineRule="auto"/>
        <w:ind w:firstLineChars="200" w:firstLine="600"/>
        <w:rPr>
          <w:rFonts w:ascii="仿宋_GB2312" w:hAnsi="宋体"/>
          <w:kern w:val="0"/>
          <w:sz w:val="30"/>
          <w:szCs w:val="30"/>
        </w:rPr>
      </w:pPr>
    </w:p>
    <w:p w14:paraId="6F39F901" w14:textId="77777777" w:rsidR="00412EB5" w:rsidRDefault="00D222E7">
      <w:pPr>
        <w:pStyle w:val="3"/>
        <w:spacing w:line="360" w:lineRule="auto"/>
        <w:rPr>
          <w:rFonts w:ascii="仿宋_GB2312" w:eastAsia="仿宋_GB2312"/>
          <w:sz w:val="30"/>
          <w:szCs w:val="30"/>
        </w:rPr>
      </w:pPr>
      <w:r>
        <w:rPr>
          <w:rFonts w:ascii="仿宋_GB2312" w:eastAsia="仿宋_GB2312" w:hint="eastAsia"/>
          <w:sz w:val="30"/>
          <w:szCs w:val="30"/>
        </w:rPr>
        <w:t>第五章  微专业与主修专业的学分转换</w:t>
      </w:r>
    </w:p>
    <w:p w14:paraId="1E1285FD" w14:textId="594CD83E" w:rsidR="00412EB5" w:rsidRDefault="00D222E7">
      <w:pPr>
        <w:snapToGrid w:val="0"/>
        <w:spacing w:line="360" w:lineRule="auto"/>
        <w:ind w:firstLineChars="200" w:firstLine="602"/>
        <w:rPr>
          <w:rFonts w:ascii="仿宋_GB2312" w:hAnsi="宋体"/>
          <w:kern w:val="0"/>
          <w:sz w:val="30"/>
          <w:szCs w:val="30"/>
        </w:rPr>
      </w:pPr>
      <w:r>
        <w:rPr>
          <w:rFonts w:ascii="仿宋_GB2312" w:hAnsi="宋体" w:hint="eastAsia"/>
          <w:b/>
          <w:kern w:val="0"/>
          <w:sz w:val="30"/>
          <w:szCs w:val="30"/>
        </w:rPr>
        <w:t>第十</w:t>
      </w:r>
      <w:r w:rsidR="00DE0EE9">
        <w:rPr>
          <w:rFonts w:ascii="仿宋_GB2312" w:hAnsi="宋体" w:hint="eastAsia"/>
          <w:b/>
          <w:kern w:val="0"/>
          <w:sz w:val="30"/>
          <w:szCs w:val="30"/>
        </w:rPr>
        <w:t>四</w:t>
      </w:r>
      <w:r>
        <w:rPr>
          <w:rFonts w:ascii="仿宋_GB2312" w:hAnsi="宋体" w:hint="eastAsia"/>
          <w:b/>
          <w:kern w:val="0"/>
          <w:sz w:val="30"/>
          <w:szCs w:val="30"/>
        </w:rPr>
        <w:t xml:space="preserve">条 </w:t>
      </w:r>
      <w:r>
        <w:rPr>
          <w:rFonts w:ascii="仿宋_GB2312" w:hAnsi="宋体" w:hint="eastAsia"/>
          <w:kern w:val="0"/>
          <w:sz w:val="30"/>
          <w:szCs w:val="30"/>
        </w:rPr>
        <w:t>学生终止微专业学习的，经本人申请，所获学分可认定为主修专业培养方案中相应模块选修学分的，转入主修专业成绩库认定为选修学分。</w:t>
      </w:r>
    </w:p>
    <w:p w14:paraId="47AB00AB" w14:textId="3D31631D" w:rsidR="00412EB5" w:rsidRDefault="00D222E7">
      <w:pPr>
        <w:snapToGrid w:val="0"/>
        <w:spacing w:line="360" w:lineRule="auto"/>
        <w:ind w:firstLineChars="200" w:firstLine="602"/>
        <w:rPr>
          <w:rFonts w:ascii="仿宋_GB2312" w:hAnsi="宋体"/>
          <w:kern w:val="0"/>
          <w:sz w:val="30"/>
          <w:szCs w:val="30"/>
        </w:rPr>
      </w:pPr>
      <w:r>
        <w:rPr>
          <w:rFonts w:ascii="仿宋_GB2312" w:hAnsi="宋体" w:hint="eastAsia"/>
          <w:b/>
          <w:kern w:val="0"/>
          <w:sz w:val="30"/>
          <w:szCs w:val="30"/>
        </w:rPr>
        <w:t>第十</w:t>
      </w:r>
      <w:r w:rsidR="00DE0EE9">
        <w:rPr>
          <w:rFonts w:ascii="仿宋_GB2312" w:hAnsi="宋体" w:hint="eastAsia"/>
          <w:b/>
          <w:kern w:val="0"/>
          <w:sz w:val="30"/>
          <w:szCs w:val="30"/>
        </w:rPr>
        <w:t>五</w:t>
      </w:r>
      <w:r>
        <w:rPr>
          <w:rFonts w:ascii="仿宋_GB2312" w:hAnsi="宋体" w:hint="eastAsia"/>
          <w:b/>
          <w:kern w:val="0"/>
          <w:sz w:val="30"/>
          <w:szCs w:val="30"/>
        </w:rPr>
        <w:t>条</w:t>
      </w:r>
      <w:r>
        <w:rPr>
          <w:rFonts w:ascii="仿宋_GB2312" w:hAnsi="宋体" w:hint="eastAsia"/>
          <w:kern w:val="0"/>
          <w:sz w:val="30"/>
          <w:szCs w:val="30"/>
        </w:rPr>
        <w:t xml:space="preserve"> 学生修读微专业的课程成绩转入主修专业成绩库时，按照主修专业培养方案中的记分方式记载课程成绩。</w:t>
      </w:r>
    </w:p>
    <w:p w14:paraId="06457E16" w14:textId="77777777" w:rsidR="00412EB5" w:rsidRDefault="00412EB5">
      <w:pPr>
        <w:snapToGrid w:val="0"/>
        <w:spacing w:line="360" w:lineRule="auto"/>
        <w:ind w:firstLineChars="200" w:firstLine="600"/>
        <w:rPr>
          <w:rFonts w:ascii="仿宋_GB2312" w:hAnsi="宋体"/>
          <w:kern w:val="0"/>
          <w:sz w:val="30"/>
          <w:szCs w:val="30"/>
        </w:rPr>
      </w:pPr>
    </w:p>
    <w:p w14:paraId="3302BCED" w14:textId="77777777" w:rsidR="00412EB5" w:rsidRDefault="00D222E7">
      <w:pPr>
        <w:pStyle w:val="3"/>
        <w:spacing w:line="360" w:lineRule="auto"/>
        <w:rPr>
          <w:rFonts w:ascii="仿宋_GB2312" w:eastAsia="仿宋_GB2312"/>
          <w:sz w:val="30"/>
          <w:szCs w:val="30"/>
        </w:rPr>
      </w:pPr>
      <w:r>
        <w:rPr>
          <w:rFonts w:ascii="仿宋_GB2312" w:eastAsia="仿宋_GB2312" w:hint="eastAsia"/>
          <w:sz w:val="30"/>
          <w:szCs w:val="30"/>
        </w:rPr>
        <w:t>第六章  收  费</w:t>
      </w:r>
    </w:p>
    <w:p w14:paraId="0B16AD03" w14:textId="592EC161" w:rsidR="00412EB5" w:rsidRDefault="00D222E7">
      <w:pPr>
        <w:snapToGrid w:val="0"/>
        <w:spacing w:line="360" w:lineRule="auto"/>
        <w:ind w:firstLineChars="200" w:firstLine="602"/>
        <w:rPr>
          <w:rFonts w:ascii="仿宋_GB2312" w:hAnsi="宋体"/>
          <w:kern w:val="0"/>
          <w:sz w:val="30"/>
          <w:szCs w:val="30"/>
        </w:rPr>
      </w:pPr>
      <w:r>
        <w:rPr>
          <w:rFonts w:ascii="仿宋_GB2312" w:hAnsi="宋体" w:hint="eastAsia"/>
          <w:b/>
          <w:kern w:val="0"/>
          <w:sz w:val="30"/>
          <w:szCs w:val="30"/>
        </w:rPr>
        <w:t>第十</w:t>
      </w:r>
      <w:r w:rsidR="00DE0EE9">
        <w:rPr>
          <w:rFonts w:ascii="仿宋_GB2312" w:hAnsi="宋体" w:hint="eastAsia"/>
          <w:b/>
          <w:kern w:val="0"/>
          <w:sz w:val="30"/>
          <w:szCs w:val="30"/>
        </w:rPr>
        <w:t>六</w:t>
      </w:r>
      <w:r>
        <w:rPr>
          <w:rFonts w:ascii="仿宋_GB2312" w:hAnsi="宋体" w:hint="eastAsia"/>
          <w:b/>
          <w:kern w:val="0"/>
          <w:sz w:val="30"/>
          <w:szCs w:val="30"/>
        </w:rPr>
        <w:t>条</w:t>
      </w:r>
      <w:r>
        <w:rPr>
          <w:rFonts w:ascii="仿宋_GB2312" w:hAnsi="宋体" w:hint="eastAsia"/>
          <w:kern w:val="0"/>
          <w:sz w:val="30"/>
          <w:szCs w:val="30"/>
        </w:rPr>
        <w:t xml:space="preserve"> 学校对学生修读微专业按学分收取费用，学生因不及格或提高成绩等原因重修相关课程时应重新按学分缴纳费用。收费标准为260元/学分。</w:t>
      </w:r>
    </w:p>
    <w:p w14:paraId="7FF8088E" w14:textId="0E548C07" w:rsidR="00412EB5" w:rsidRDefault="00D222E7">
      <w:pPr>
        <w:snapToGrid w:val="0"/>
        <w:spacing w:line="360" w:lineRule="auto"/>
        <w:ind w:firstLineChars="200" w:firstLine="602"/>
        <w:rPr>
          <w:rFonts w:ascii="仿宋_GB2312" w:hAnsi="宋体"/>
          <w:kern w:val="0"/>
          <w:sz w:val="30"/>
          <w:szCs w:val="30"/>
        </w:rPr>
      </w:pPr>
      <w:r>
        <w:rPr>
          <w:rFonts w:ascii="仿宋_GB2312" w:hAnsi="宋体" w:hint="eastAsia"/>
          <w:b/>
          <w:kern w:val="0"/>
          <w:sz w:val="30"/>
          <w:szCs w:val="30"/>
        </w:rPr>
        <w:t>第十</w:t>
      </w:r>
      <w:r w:rsidR="00DE0EE9">
        <w:rPr>
          <w:rFonts w:ascii="仿宋_GB2312" w:hAnsi="宋体" w:hint="eastAsia"/>
          <w:b/>
          <w:kern w:val="0"/>
          <w:sz w:val="30"/>
          <w:szCs w:val="30"/>
        </w:rPr>
        <w:t>七</w:t>
      </w:r>
      <w:r>
        <w:rPr>
          <w:rFonts w:ascii="仿宋_GB2312" w:hAnsi="宋体" w:hint="eastAsia"/>
          <w:b/>
          <w:kern w:val="0"/>
          <w:sz w:val="30"/>
          <w:szCs w:val="30"/>
        </w:rPr>
        <w:t>条</w:t>
      </w:r>
      <w:r>
        <w:rPr>
          <w:rFonts w:ascii="仿宋_GB2312" w:hAnsi="宋体" w:hint="eastAsia"/>
          <w:kern w:val="0"/>
          <w:sz w:val="30"/>
          <w:szCs w:val="30"/>
        </w:rPr>
        <w:t xml:space="preserve"> 学生参加微专业学习，已修读课程的费用不予退还。</w:t>
      </w:r>
    </w:p>
    <w:p w14:paraId="1A6AE5C1" w14:textId="1DB3DD44" w:rsidR="00412EB5" w:rsidRDefault="00D222E7" w:rsidP="00633F82">
      <w:pPr>
        <w:snapToGrid w:val="0"/>
        <w:spacing w:line="360" w:lineRule="auto"/>
        <w:ind w:firstLineChars="200" w:firstLine="602"/>
      </w:pPr>
      <w:r>
        <w:rPr>
          <w:rFonts w:ascii="仿宋_GB2312" w:hAnsi="宋体" w:hint="eastAsia"/>
          <w:b/>
          <w:kern w:val="0"/>
          <w:sz w:val="30"/>
          <w:szCs w:val="30"/>
        </w:rPr>
        <w:lastRenderedPageBreak/>
        <w:t>第十</w:t>
      </w:r>
      <w:r w:rsidR="00DE0EE9">
        <w:rPr>
          <w:rFonts w:ascii="仿宋_GB2312" w:hAnsi="宋体" w:hint="eastAsia"/>
          <w:b/>
          <w:kern w:val="0"/>
          <w:sz w:val="30"/>
          <w:szCs w:val="30"/>
        </w:rPr>
        <w:t>八</w:t>
      </w:r>
      <w:r>
        <w:rPr>
          <w:rFonts w:ascii="仿宋_GB2312" w:hAnsi="宋体" w:hint="eastAsia"/>
          <w:b/>
          <w:kern w:val="0"/>
          <w:sz w:val="30"/>
          <w:szCs w:val="30"/>
        </w:rPr>
        <w:t xml:space="preserve">条 </w:t>
      </w:r>
      <w:r>
        <w:rPr>
          <w:rFonts w:ascii="仿宋_GB2312" w:hAnsi="宋体" w:hint="eastAsia"/>
          <w:kern w:val="0"/>
          <w:sz w:val="30"/>
          <w:szCs w:val="30"/>
        </w:rPr>
        <w:t>本办法自2025年开始施行，由本科生院负责解释。</w:t>
      </w:r>
    </w:p>
    <w:sectPr w:rsidR="00412E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91D53" w14:textId="77777777" w:rsidR="00A92CC8" w:rsidRDefault="00A92CC8">
      <w:pPr>
        <w:spacing w:line="240" w:lineRule="auto"/>
      </w:pPr>
      <w:r>
        <w:separator/>
      </w:r>
    </w:p>
  </w:endnote>
  <w:endnote w:type="continuationSeparator" w:id="0">
    <w:p w14:paraId="5BE9DE3C" w14:textId="77777777" w:rsidR="00A92CC8" w:rsidRDefault="00A92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F8F45" w14:textId="77777777" w:rsidR="00A92CC8" w:rsidRDefault="00A92CC8">
      <w:pPr>
        <w:spacing w:line="240" w:lineRule="auto"/>
      </w:pPr>
      <w:r>
        <w:separator/>
      </w:r>
    </w:p>
  </w:footnote>
  <w:footnote w:type="continuationSeparator" w:id="0">
    <w:p w14:paraId="651F83E6" w14:textId="77777777" w:rsidR="00A92CC8" w:rsidRDefault="00A92CC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3B1"/>
    <w:rsid w:val="00020666"/>
    <w:rsid w:val="00032059"/>
    <w:rsid w:val="00032E35"/>
    <w:rsid w:val="00061233"/>
    <w:rsid w:val="00084F41"/>
    <w:rsid w:val="000C7A17"/>
    <w:rsid w:val="000D3E17"/>
    <w:rsid w:val="00125F58"/>
    <w:rsid w:val="001335C4"/>
    <w:rsid w:val="00143036"/>
    <w:rsid w:val="00161230"/>
    <w:rsid w:val="00194CD3"/>
    <w:rsid w:val="002073B4"/>
    <w:rsid w:val="002122E6"/>
    <w:rsid w:val="002511E3"/>
    <w:rsid w:val="002D0800"/>
    <w:rsid w:val="00324043"/>
    <w:rsid w:val="00396C1E"/>
    <w:rsid w:val="003A3C6B"/>
    <w:rsid w:val="003F1D0E"/>
    <w:rsid w:val="00412EB5"/>
    <w:rsid w:val="004362C5"/>
    <w:rsid w:val="00444774"/>
    <w:rsid w:val="004462D1"/>
    <w:rsid w:val="00480C17"/>
    <w:rsid w:val="004A6933"/>
    <w:rsid w:val="004D00C8"/>
    <w:rsid w:val="00531C71"/>
    <w:rsid w:val="005D5547"/>
    <w:rsid w:val="00611CF0"/>
    <w:rsid w:val="006203B1"/>
    <w:rsid w:val="0062672F"/>
    <w:rsid w:val="00633F82"/>
    <w:rsid w:val="00661578"/>
    <w:rsid w:val="006A2DEC"/>
    <w:rsid w:val="00722D0A"/>
    <w:rsid w:val="00762223"/>
    <w:rsid w:val="00792D27"/>
    <w:rsid w:val="00793135"/>
    <w:rsid w:val="00797B37"/>
    <w:rsid w:val="007E5626"/>
    <w:rsid w:val="00827218"/>
    <w:rsid w:val="00827532"/>
    <w:rsid w:val="00836E71"/>
    <w:rsid w:val="00856319"/>
    <w:rsid w:val="008B0C46"/>
    <w:rsid w:val="008B3832"/>
    <w:rsid w:val="008D63E2"/>
    <w:rsid w:val="008E22DA"/>
    <w:rsid w:val="008E383B"/>
    <w:rsid w:val="008E49EC"/>
    <w:rsid w:val="0091766D"/>
    <w:rsid w:val="00962823"/>
    <w:rsid w:val="0099149B"/>
    <w:rsid w:val="009C5C0E"/>
    <w:rsid w:val="00A13EF1"/>
    <w:rsid w:val="00A36483"/>
    <w:rsid w:val="00A62BE5"/>
    <w:rsid w:val="00A92CC8"/>
    <w:rsid w:val="00A95CDC"/>
    <w:rsid w:val="00AB133C"/>
    <w:rsid w:val="00AF59DB"/>
    <w:rsid w:val="00B2157C"/>
    <w:rsid w:val="00B4451B"/>
    <w:rsid w:val="00BA47F0"/>
    <w:rsid w:val="00C7598F"/>
    <w:rsid w:val="00C77CD3"/>
    <w:rsid w:val="00C86C52"/>
    <w:rsid w:val="00D222E7"/>
    <w:rsid w:val="00DC3B44"/>
    <w:rsid w:val="00DE0EE9"/>
    <w:rsid w:val="00E41910"/>
    <w:rsid w:val="00EB7854"/>
    <w:rsid w:val="00F13F3D"/>
    <w:rsid w:val="00F34AD0"/>
    <w:rsid w:val="00F441E8"/>
    <w:rsid w:val="00F61024"/>
    <w:rsid w:val="00FC5007"/>
    <w:rsid w:val="0E3E2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EBDCF"/>
  <w15:docId w15:val="{F1ED18DE-981C-4AF1-9BB8-4F648E1D1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20" w:lineRule="exact"/>
      <w:jc w:val="both"/>
    </w:pPr>
    <w:rPr>
      <w:rFonts w:ascii="Times New Roman" w:eastAsia="仿宋_GB2312" w:hAnsi="Times New Roman" w:cs="Times New Roman"/>
      <w:kern w:val="2"/>
      <w:sz w:val="21"/>
    </w:rPr>
  </w:style>
  <w:style w:type="paragraph" w:styleId="2">
    <w:name w:val="heading 2"/>
    <w:basedOn w:val="a"/>
    <w:next w:val="a"/>
    <w:link w:val="2Char"/>
    <w:uiPriority w:val="9"/>
    <w:semiHidden/>
    <w:unhideWhenUsed/>
    <w:qFormat/>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qFormat/>
    <w:pPr>
      <w:snapToGrid w:val="0"/>
      <w:jc w:val="center"/>
      <w:outlineLvl w:val="2"/>
    </w:pPr>
    <w:rPr>
      <w:rFonts w:asciiTheme="minorEastAsia" w:eastAsia="宋体" w:hAnsiTheme="minorEastAsia"/>
      <w:b/>
      <w:bCs/>
      <w:kern w:val="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pPr>
      <w:spacing w:line="240" w:lineRule="auto"/>
    </w:pPr>
    <w:rPr>
      <w:sz w:val="18"/>
      <w:szCs w:val="18"/>
    </w:rPr>
  </w:style>
  <w:style w:type="paragraph" w:styleId="a4">
    <w:name w:val="footer"/>
    <w:basedOn w:val="a"/>
    <w:link w:val="Char0"/>
    <w:uiPriority w:val="99"/>
    <w:unhideWhenUsed/>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3Char">
    <w:name w:val="标题 3 Char"/>
    <w:basedOn w:val="a0"/>
    <w:link w:val="3"/>
    <w:uiPriority w:val="9"/>
    <w:qFormat/>
    <w:rPr>
      <w:rFonts w:asciiTheme="minorEastAsia" w:eastAsia="宋体" w:hAnsiTheme="minorEastAsia" w:cs="Times New Roman"/>
      <w:b/>
      <w:bCs/>
      <w:kern w:val="0"/>
      <w:sz w:val="24"/>
      <w:szCs w:val="21"/>
    </w:rPr>
  </w:style>
  <w:style w:type="paragraph" w:customStyle="1" w:styleId="20">
    <w:name w:val="2"/>
    <w:basedOn w:val="2"/>
    <w:link w:val="21"/>
    <w:qFormat/>
    <w:pPr>
      <w:keepNext w:val="0"/>
      <w:keepLines w:val="0"/>
      <w:snapToGrid w:val="0"/>
      <w:spacing w:before="0" w:after="0" w:line="400" w:lineRule="exact"/>
      <w:jc w:val="center"/>
    </w:pPr>
    <w:rPr>
      <w:rFonts w:ascii="方正小标宋简体" w:eastAsia="方正小标宋简体" w:hAnsi="宋体" w:cs="Times New Roman"/>
      <w:bCs w:val="0"/>
      <w:kern w:val="0"/>
    </w:rPr>
  </w:style>
  <w:style w:type="character" w:customStyle="1" w:styleId="21">
    <w:name w:val="2 字符"/>
    <w:basedOn w:val="a0"/>
    <w:link w:val="20"/>
    <w:rPr>
      <w:rFonts w:ascii="方正小标宋简体" w:eastAsia="方正小标宋简体" w:hAnsi="宋体" w:cs="Times New Roman"/>
      <w:b/>
      <w:kern w:val="0"/>
      <w:sz w:val="32"/>
      <w:szCs w:val="32"/>
    </w:rPr>
  </w:style>
  <w:style w:type="character" w:customStyle="1" w:styleId="2Char">
    <w:name w:val="标题 2 Char"/>
    <w:basedOn w:val="a0"/>
    <w:link w:val="2"/>
    <w:uiPriority w:val="9"/>
    <w:semiHidden/>
    <w:rPr>
      <w:rFonts w:asciiTheme="majorHAnsi" w:eastAsiaTheme="majorEastAsia" w:hAnsiTheme="majorHAnsi" w:cstheme="majorBidi"/>
      <w:b/>
      <w:bCs/>
      <w:sz w:val="32"/>
      <w:szCs w:val="32"/>
    </w:rPr>
  </w:style>
  <w:style w:type="character" w:customStyle="1" w:styleId="Char">
    <w:name w:val="批注框文本 Char"/>
    <w:basedOn w:val="a0"/>
    <w:link w:val="a3"/>
    <w:uiPriority w:val="99"/>
    <w:semiHidden/>
    <w:rPr>
      <w:rFonts w:ascii="Times New Roman" w:eastAsia="仿宋_GB2312" w:hAnsi="Times New Roman" w:cs="Times New Roman"/>
      <w:sz w:val="18"/>
      <w:szCs w:val="18"/>
    </w:rPr>
  </w:style>
  <w:style w:type="character" w:styleId="a6">
    <w:name w:val="annotation reference"/>
    <w:basedOn w:val="a0"/>
    <w:uiPriority w:val="99"/>
    <w:semiHidden/>
    <w:unhideWhenUsed/>
    <w:rsid w:val="00827532"/>
    <w:rPr>
      <w:sz w:val="21"/>
      <w:szCs w:val="21"/>
    </w:rPr>
  </w:style>
  <w:style w:type="paragraph" w:styleId="a7">
    <w:name w:val="annotation text"/>
    <w:basedOn w:val="a"/>
    <w:link w:val="Char2"/>
    <w:uiPriority w:val="99"/>
    <w:semiHidden/>
    <w:unhideWhenUsed/>
    <w:rsid w:val="00827532"/>
    <w:pPr>
      <w:jc w:val="left"/>
    </w:pPr>
  </w:style>
  <w:style w:type="character" w:customStyle="1" w:styleId="Char2">
    <w:name w:val="批注文字 Char"/>
    <w:basedOn w:val="a0"/>
    <w:link w:val="a7"/>
    <w:uiPriority w:val="99"/>
    <w:semiHidden/>
    <w:rsid w:val="00827532"/>
    <w:rPr>
      <w:rFonts w:ascii="Times New Roman" w:eastAsia="仿宋_GB2312" w:hAnsi="Times New Roman" w:cs="Times New Roman"/>
      <w:kern w:val="2"/>
      <w:sz w:val="21"/>
    </w:rPr>
  </w:style>
  <w:style w:type="paragraph" w:styleId="a8">
    <w:name w:val="annotation subject"/>
    <w:basedOn w:val="a7"/>
    <w:next w:val="a7"/>
    <w:link w:val="Char3"/>
    <w:uiPriority w:val="99"/>
    <w:semiHidden/>
    <w:unhideWhenUsed/>
    <w:rsid w:val="00827532"/>
    <w:rPr>
      <w:b/>
      <w:bCs/>
    </w:rPr>
  </w:style>
  <w:style w:type="character" w:customStyle="1" w:styleId="Char3">
    <w:name w:val="批注主题 Char"/>
    <w:basedOn w:val="Char2"/>
    <w:link w:val="a8"/>
    <w:uiPriority w:val="99"/>
    <w:semiHidden/>
    <w:rsid w:val="00827532"/>
    <w:rPr>
      <w:rFonts w:ascii="Times New Roman" w:eastAsia="仿宋_GB2312" w:hAnsi="Times New Roman" w:cs="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231</Words>
  <Characters>1317</Characters>
  <Application>Microsoft Office Word</Application>
  <DocSecurity>0</DocSecurity>
  <Lines>10</Lines>
  <Paragraphs>3</Paragraphs>
  <ScaleCrop>false</ScaleCrop>
  <Company>Lenovo</Company>
  <LinksUpToDate>false</LinksUpToDate>
  <CharactersWithSpaces>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dx</dc:creator>
  <cp:lastModifiedBy>dx</cp:lastModifiedBy>
  <cp:revision>17</cp:revision>
  <cp:lastPrinted>2025-05-29T08:22:00Z</cp:lastPrinted>
  <dcterms:created xsi:type="dcterms:W3CDTF">2025-05-26T02:35:00Z</dcterms:created>
  <dcterms:modified xsi:type="dcterms:W3CDTF">2025-05-29T08:46:00Z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eyJoZGlkIjoiOWIxNDAwYjJiZWJlNjdmNDhkNWIzZmFhODU4YmRlMDYiLCJ1c2VySWQiOiIxMjM2NDkxNTYifQ==</vt:lpwstr>
  </property>
  <property fmtid="{D5CDD505-2E9C-101B-9397-08002B2CF9AE}" pid="3" name="KSOProductBuildVer">
    <vt:lpwstr>2052-12.1.0.21171</vt:lpwstr>
  </property>
  <property fmtid="{D5CDD505-2E9C-101B-9397-08002B2CF9AE}" pid="4" name="ICV">
    <vt:lpwstr>6AE613691F0D4D61A74A02570D6FBF23_12</vt:lpwstr>
  </property>
</Properties>
</file>